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Рисунок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Ключевые механизмы иммунной дисфункции при сепсисе: дисбаланс между гипервоспалением и иммуносупрессией. Процессы включают активацию врождённого иммунитета через рецепторы распознавания паттернов (TLR4, TLR2, TLR9, лектины), высвобождение провоспалительных цитокинов (IL-6, TNF-α, IL-1β), активацию системы комплемента (C3a, C5a), а также подавление адаптивного иммунного ответа, выражающееся в снижении экспрессии HLA-DR, повышении ингибиторных молекул PD-1/PD-L1 и истощении CD4⁺ и CD8⁺ Т-лимфоцитов. Совокупность этих механизмов приводит к системному воспалению, органной дисфункции и повышенному риску развития вторичных инфекций. 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Figure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— Key mechanisms of immune dysfunction in sepsis: imbalance between hyperinflammation and immunosuppression. The processes include activation of the innate immune system through pattern recognition receptors (TLR4, TLR2, TLR9, lectins), release of proinflammatory cytokines (IL-6, TNF-α, IL-1β), activation of the complement system (C3a, C5a), as well as suppression of the adaptive immune response, manifested by decreased HLA-DR expression, increased levels of inhibitory molecules PD-1/PD-L1, and exhaustion of CD4⁺ and CD8⁺ T lymphocytes. Together, these mechanisms lead to systemic inflammation, organ dysfunction, and an increased risk of secondary infections.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